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69EB" w14:textId="2601BFE1" w:rsidR="00B40287" w:rsidRPr="005925F3" w:rsidRDefault="00B40287">
      <w:pPr>
        <w:rPr>
          <w:b/>
          <w:bCs/>
        </w:rPr>
      </w:pPr>
      <w:r w:rsidRPr="005925F3">
        <w:rPr>
          <w:b/>
          <w:bCs/>
        </w:rPr>
        <w:t>The Classic 2CV Racing Club Limited (“Company”) Annual General Meeting 202</w:t>
      </w:r>
      <w:r w:rsidR="005925F3" w:rsidRPr="005925F3">
        <w:rPr>
          <w:b/>
          <w:bCs/>
        </w:rPr>
        <w:t>2</w:t>
      </w:r>
    </w:p>
    <w:p w14:paraId="2EBECF1C" w14:textId="77777777" w:rsidR="00B40287" w:rsidRPr="005925F3" w:rsidRDefault="00B40287">
      <w:pPr>
        <w:rPr>
          <w:b/>
          <w:bCs/>
        </w:rPr>
      </w:pPr>
      <w:r w:rsidRPr="005925F3">
        <w:rPr>
          <w:b/>
          <w:bCs/>
        </w:rPr>
        <w:t xml:space="preserve">Form of proxy </w:t>
      </w:r>
    </w:p>
    <w:p w14:paraId="08DDCF26" w14:textId="77777777" w:rsidR="00E1774E" w:rsidRDefault="00E1774E"/>
    <w:p w14:paraId="7B9048EC" w14:textId="3A271859" w:rsidR="00B40287" w:rsidRDefault="00B40287">
      <w:r>
        <w:t xml:space="preserve">Member’s name: </w:t>
      </w:r>
      <w:r>
        <w:tab/>
        <w:t xml:space="preserve">……………………................................... </w:t>
      </w:r>
    </w:p>
    <w:p w14:paraId="763A249F" w14:textId="25F9B0DD" w:rsidR="00B40287" w:rsidRDefault="00B40287">
      <w:r>
        <w:t>Member’s address:</w:t>
      </w:r>
      <w:r>
        <w:tab/>
        <w:t xml:space="preserve">……………………................................... </w:t>
      </w:r>
    </w:p>
    <w:p w14:paraId="09A63159" w14:textId="77777777" w:rsidR="00B40287" w:rsidRDefault="00B40287" w:rsidP="00B40287">
      <w:pPr>
        <w:ind w:left="1440" w:firstLine="720"/>
      </w:pPr>
      <w:r>
        <w:t xml:space="preserve">……………………................................... </w:t>
      </w:r>
    </w:p>
    <w:p w14:paraId="6ABEFCD5" w14:textId="2F9BDE26" w:rsidR="00B40287" w:rsidRDefault="00B40287" w:rsidP="00B40287">
      <w:pPr>
        <w:ind w:left="1440" w:firstLine="720"/>
      </w:pPr>
      <w:r>
        <w:t xml:space="preserve">……………………................................... </w:t>
      </w:r>
    </w:p>
    <w:p w14:paraId="5A3A0B35" w14:textId="77777777" w:rsidR="00B40287" w:rsidRDefault="00B40287">
      <w:r>
        <w:t>Before completing this form, please read the explanatory notes.</w:t>
      </w:r>
    </w:p>
    <w:p w14:paraId="3D7507F6" w14:textId="5B9D5156" w:rsidR="00B40287" w:rsidRDefault="00B40287">
      <w:r>
        <w:t xml:space="preserve">I / We being a member of the Company appoint the </w:t>
      </w:r>
      <w:r w:rsidR="005925F3">
        <w:t>following person:</w:t>
      </w:r>
      <w:r>
        <w:t xml:space="preserve"> (see note 3):</w:t>
      </w:r>
    </w:p>
    <w:p w14:paraId="3BFA2CD5" w14:textId="67A70C16" w:rsidR="00B40287" w:rsidRDefault="00DE2505">
      <w:r>
        <w:br/>
      </w:r>
      <w:r w:rsidR="00B40287">
        <w:t>…………………………………………………</w:t>
      </w:r>
      <w:r>
        <w:t>……</w:t>
      </w:r>
      <w:r w:rsidR="00B40287">
        <w:t>…….</w:t>
      </w:r>
      <w:r w:rsidR="005925F3">
        <w:t xml:space="preserve">  OR   (The chairman of the meeting)  [circle as appropriate]</w:t>
      </w:r>
    </w:p>
    <w:p w14:paraId="3688C087" w14:textId="3B8F9160" w:rsidR="00B40287" w:rsidRDefault="00B40287">
      <w:r>
        <w:t>as my/our proxy to attend, speak and vote on my/our behalf at the Annual General Meeting of the Company to be held on 1</w:t>
      </w:r>
      <w:r w:rsidR="00E1774E">
        <w:t>9</w:t>
      </w:r>
      <w:r>
        <w:t xml:space="preserve"> November 202</w:t>
      </w:r>
      <w:r w:rsidR="00E1774E">
        <w:t>2</w:t>
      </w:r>
      <w:r>
        <w:t xml:space="preserve"> and at any adjournment of the meeting. </w:t>
      </w:r>
    </w:p>
    <w:p w14:paraId="6FEEA0D2" w14:textId="77777777" w:rsidR="00E1774E" w:rsidRDefault="00B40287">
      <w:r>
        <w:t xml:space="preserve">I/We direct my/our proxy to vote on the following resolutions as I/we have indicated by marking the appropriate box with an 'X'. </w:t>
      </w:r>
    </w:p>
    <w:tbl>
      <w:tblPr>
        <w:tblStyle w:val="TableGrid"/>
        <w:tblW w:w="0" w:type="auto"/>
        <w:tblLook w:val="04A0" w:firstRow="1" w:lastRow="0" w:firstColumn="1" w:lastColumn="0" w:noHBand="0" w:noVBand="1"/>
      </w:tblPr>
      <w:tblGrid>
        <w:gridCol w:w="7083"/>
        <w:gridCol w:w="992"/>
        <w:gridCol w:w="941"/>
      </w:tblGrid>
      <w:tr w:rsidR="00E1774E" w14:paraId="2D6C3456" w14:textId="77777777" w:rsidTr="005925F3">
        <w:tc>
          <w:tcPr>
            <w:tcW w:w="7083" w:type="dxa"/>
          </w:tcPr>
          <w:p w14:paraId="094392BF" w14:textId="2CBA58F4" w:rsidR="00E1774E" w:rsidRPr="005925F3" w:rsidRDefault="00E1774E">
            <w:pPr>
              <w:rPr>
                <w:b/>
                <w:bCs/>
              </w:rPr>
            </w:pPr>
            <w:r w:rsidRPr="005925F3">
              <w:rPr>
                <w:b/>
                <w:bCs/>
              </w:rPr>
              <w:t>RESOLUTIONS</w:t>
            </w:r>
          </w:p>
        </w:tc>
        <w:tc>
          <w:tcPr>
            <w:tcW w:w="992" w:type="dxa"/>
          </w:tcPr>
          <w:p w14:paraId="00615EF7" w14:textId="50558771" w:rsidR="00E1774E" w:rsidRPr="005925F3" w:rsidRDefault="00E1774E">
            <w:pPr>
              <w:rPr>
                <w:b/>
                <w:bCs/>
              </w:rPr>
            </w:pPr>
            <w:r w:rsidRPr="005925F3">
              <w:rPr>
                <w:b/>
                <w:bCs/>
              </w:rPr>
              <w:t>For</w:t>
            </w:r>
          </w:p>
        </w:tc>
        <w:tc>
          <w:tcPr>
            <w:tcW w:w="941" w:type="dxa"/>
          </w:tcPr>
          <w:p w14:paraId="3284D856" w14:textId="1ADBF8A1" w:rsidR="00E1774E" w:rsidRPr="005925F3" w:rsidRDefault="00E1774E">
            <w:pPr>
              <w:rPr>
                <w:b/>
                <w:bCs/>
              </w:rPr>
            </w:pPr>
            <w:r w:rsidRPr="005925F3">
              <w:rPr>
                <w:b/>
                <w:bCs/>
              </w:rPr>
              <w:t>Against</w:t>
            </w:r>
          </w:p>
        </w:tc>
      </w:tr>
      <w:tr w:rsidR="00E1774E" w14:paraId="1B1AD516" w14:textId="77777777" w:rsidTr="005925F3">
        <w:tc>
          <w:tcPr>
            <w:tcW w:w="7083" w:type="dxa"/>
          </w:tcPr>
          <w:p w14:paraId="2B2087FB" w14:textId="7A65E87A" w:rsidR="00E1774E" w:rsidRDefault="00E1774E" w:rsidP="00E1774E">
            <w:pPr>
              <w:pStyle w:val="ListParagraph"/>
              <w:numPr>
                <w:ilvl w:val="0"/>
                <w:numId w:val="4"/>
              </w:numPr>
            </w:pPr>
            <w:r>
              <w:t xml:space="preserve">Re-election of </w:t>
            </w:r>
            <w:r w:rsidR="005925F3">
              <w:t>Lien Davies</w:t>
            </w:r>
          </w:p>
        </w:tc>
        <w:tc>
          <w:tcPr>
            <w:tcW w:w="992" w:type="dxa"/>
          </w:tcPr>
          <w:p w14:paraId="1A0D7FA1" w14:textId="77777777" w:rsidR="00E1774E" w:rsidRDefault="00E1774E"/>
        </w:tc>
        <w:tc>
          <w:tcPr>
            <w:tcW w:w="941" w:type="dxa"/>
          </w:tcPr>
          <w:p w14:paraId="12E5F5FE" w14:textId="77777777" w:rsidR="00E1774E" w:rsidRDefault="00E1774E"/>
        </w:tc>
      </w:tr>
      <w:tr w:rsidR="00E1774E" w14:paraId="235275C3" w14:textId="77777777" w:rsidTr="005925F3">
        <w:tc>
          <w:tcPr>
            <w:tcW w:w="7083" w:type="dxa"/>
          </w:tcPr>
          <w:p w14:paraId="6F6D6F3A" w14:textId="08514A2D" w:rsidR="00E1774E" w:rsidRDefault="005925F3" w:rsidP="005925F3">
            <w:pPr>
              <w:pStyle w:val="ListParagraph"/>
              <w:numPr>
                <w:ilvl w:val="0"/>
                <w:numId w:val="4"/>
              </w:numPr>
            </w:pPr>
            <w:r>
              <w:t>Re-election of Martin Harrold</w:t>
            </w:r>
          </w:p>
        </w:tc>
        <w:tc>
          <w:tcPr>
            <w:tcW w:w="992" w:type="dxa"/>
          </w:tcPr>
          <w:p w14:paraId="5450F3CA" w14:textId="77777777" w:rsidR="00E1774E" w:rsidRDefault="00E1774E"/>
        </w:tc>
        <w:tc>
          <w:tcPr>
            <w:tcW w:w="941" w:type="dxa"/>
          </w:tcPr>
          <w:p w14:paraId="40A55FA1" w14:textId="77777777" w:rsidR="00E1774E" w:rsidRDefault="00E1774E"/>
        </w:tc>
      </w:tr>
      <w:tr w:rsidR="00E1774E" w14:paraId="3E247402" w14:textId="77777777" w:rsidTr="005925F3">
        <w:tc>
          <w:tcPr>
            <w:tcW w:w="7083" w:type="dxa"/>
          </w:tcPr>
          <w:p w14:paraId="2D7C7E40" w14:textId="4E25608F" w:rsidR="005925F3" w:rsidRDefault="005925F3" w:rsidP="005925F3">
            <w:pPr>
              <w:pStyle w:val="ListParagraph"/>
              <w:numPr>
                <w:ilvl w:val="0"/>
                <w:numId w:val="4"/>
              </w:numPr>
            </w:pPr>
            <w:r>
              <w:t>Re-election of Chris Yates</w:t>
            </w:r>
          </w:p>
        </w:tc>
        <w:tc>
          <w:tcPr>
            <w:tcW w:w="992" w:type="dxa"/>
          </w:tcPr>
          <w:p w14:paraId="1C0430DF" w14:textId="77777777" w:rsidR="00E1774E" w:rsidRDefault="00E1774E"/>
        </w:tc>
        <w:tc>
          <w:tcPr>
            <w:tcW w:w="941" w:type="dxa"/>
          </w:tcPr>
          <w:p w14:paraId="67D3A9C2" w14:textId="77777777" w:rsidR="00E1774E" w:rsidRDefault="00E1774E"/>
        </w:tc>
      </w:tr>
      <w:tr w:rsidR="006147C9" w14:paraId="4C53F302" w14:textId="77777777" w:rsidTr="005925F3">
        <w:tc>
          <w:tcPr>
            <w:tcW w:w="7083" w:type="dxa"/>
          </w:tcPr>
          <w:p w14:paraId="2245855C" w14:textId="04ED01BA" w:rsidR="006147C9" w:rsidRDefault="006147C9" w:rsidP="005925F3">
            <w:pPr>
              <w:pStyle w:val="ListParagraph"/>
              <w:numPr>
                <w:ilvl w:val="0"/>
                <w:numId w:val="4"/>
              </w:numPr>
            </w:pPr>
            <w:r>
              <w:t>Election of Matthew Hollis</w:t>
            </w:r>
          </w:p>
        </w:tc>
        <w:tc>
          <w:tcPr>
            <w:tcW w:w="992" w:type="dxa"/>
          </w:tcPr>
          <w:p w14:paraId="6019CD85" w14:textId="77777777" w:rsidR="006147C9" w:rsidRDefault="006147C9"/>
        </w:tc>
        <w:tc>
          <w:tcPr>
            <w:tcW w:w="941" w:type="dxa"/>
          </w:tcPr>
          <w:p w14:paraId="58EE62DF" w14:textId="77777777" w:rsidR="006147C9" w:rsidRDefault="006147C9"/>
        </w:tc>
      </w:tr>
      <w:tr w:rsidR="005925F3" w14:paraId="531D7A3F" w14:textId="77777777" w:rsidTr="005925F3">
        <w:tc>
          <w:tcPr>
            <w:tcW w:w="7083" w:type="dxa"/>
          </w:tcPr>
          <w:p w14:paraId="6A9F96A3" w14:textId="2B2A957E" w:rsidR="005925F3" w:rsidRDefault="005925F3" w:rsidP="005925F3">
            <w:pPr>
              <w:pStyle w:val="ListParagraph"/>
              <w:numPr>
                <w:ilvl w:val="0"/>
                <w:numId w:val="4"/>
              </w:numPr>
            </w:pPr>
            <w:r>
              <w:t>Approval of the Company’s annual accounts for the year to August 2022</w:t>
            </w:r>
          </w:p>
        </w:tc>
        <w:tc>
          <w:tcPr>
            <w:tcW w:w="992" w:type="dxa"/>
          </w:tcPr>
          <w:p w14:paraId="0762D072" w14:textId="77777777" w:rsidR="005925F3" w:rsidRDefault="005925F3"/>
        </w:tc>
        <w:tc>
          <w:tcPr>
            <w:tcW w:w="941" w:type="dxa"/>
          </w:tcPr>
          <w:p w14:paraId="74E36819" w14:textId="77777777" w:rsidR="005925F3" w:rsidRDefault="005925F3"/>
        </w:tc>
      </w:tr>
    </w:tbl>
    <w:p w14:paraId="02E367E7" w14:textId="6915C29C" w:rsidR="00E1774E" w:rsidRDefault="00E1774E"/>
    <w:tbl>
      <w:tblPr>
        <w:tblStyle w:val="TableGrid"/>
        <w:tblW w:w="0" w:type="auto"/>
        <w:tblLook w:val="04A0" w:firstRow="1" w:lastRow="0" w:firstColumn="1" w:lastColumn="0" w:noHBand="0" w:noVBand="1"/>
      </w:tblPr>
      <w:tblGrid>
        <w:gridCol w:w="4508"/>
        <w:gridCol w:w="4508"/>
      </w:tblGrid>
      <w:tr w:rsidR="005925F3" w14:paraId="0A36BB67" w14:textId="77777777" w:rsidTr="005925F3">
        <w:tc>
          <w:tcPr>
            <w:tcW w:w="4508" w:type="dxa"/>
          </w:tcPr>
          <w:p w14:paraId="12D86DAA" w14:textId="773B9B28" w:rsidR="005925F3" w:rsidRPr="005925F3" w:rsidRDefault="005925F3">
            <w:pPr>
              <w:rPr>
                <w:b/>
                <w:bCs/>
              </w:rPr>
            </w:pPr>
            <w:r w:rsidRPr="005925F3">
              <w:rPr>
                <w:b/>
                <w:bCs/>
              </w:rPr>
              <w:t>Signature</w:t>
            </w:r>
          </w:p>
        </w:tc>
        <w:tc>
          <w:tcPr>
            <w:tcW w:w="4508" w:type="dxa"/>
          </w:tcPr>
          <w:p w14:paraId="13F3C76F" w14:textId="42683751" w:rsidR="005925F3" w:rsidRPr="005925F3" w:rsidRDefault="005925F3">
            <w:pPr>
              <w:rPr>
                <w:b/>
                <w:bCs/>
              </w:rPr>
            </w:pPr>
            <w:r w:rsidRPr="005925F3">
              <w:rPr>
                <w:b/>
                <w:bCs/>
              </w:rPr>
              <w:t>Date</w:t>
            </w:r>
          </w:p>
        </w:tc>
      </w:tr>
      <w:tr w:rsidR="005925F3" w14:paraId="6EA8BF95" w14:textId="77777777" w:rsidTr="005925F3">
        <w:trPr>
          <w:trHeight w:val="1310"/>
        </w:trPr>
        <w:tc>
          <w:tcPr>
            <w:tcW w:w="4508" w:type="dxa"/>
          </w:tcPr>
          <w:p w14:paraId="70C01C3B" w14:textId="77777777" w:rsidR="005925F3" w:rsidRDefault="005925F3"/>
        </w:tc>
        <w:tc>
          <w:tcPr>
            <w:tcW w:w="4508" w:type="dxa"/>
          </w:tcPr>
          <w:p w14:paraId="1507FE05" w14:textId="77777777" w:rsidR="005925F3" w:rsidRDefault="005925F3"/>
        </w:tc>
      </w:tr>
    </w:tbl>
    <w:p w14:paraId="02D7D5A3" w14:textId="04AF0C04" w:rsidR="00DE2505" w:rsidRDefault="00DE2505"/>
    <w:p w14:paraId="4A6CB0E0" w14:textId="77777777" w:rsidR="00DE2505" w:rsidRDefault="00DE2505">
      <w:r>
        <w:br w:type="page"/>
      </w:r>
    </w:p>
    <w:p w14:paraId="3E342552" w14:textId="77777777" w:rsidR="00DE2505" w:rsidRPr="00DE2505" w:rsidRDefault="00DE2505">
      <w:pPr>
        <w:rPr>
          <w:b/>
          <w:bCs/>
        </w:rPr>
      </w:pPr>
      <w:r w:rsidRPr="00DE2505">
        <w:rPr>
          <w:b/>
          <w:bCs/>
        </w:rPr>
        <w:lastRenderedPageBreak/>
        <w:t>Notes to the proxy form</w:t>
      </w:r>
    </w:p>
    <w:p w14:paraId="61973EB8" w14:textId="77777777" w:rsidR="00DE2505" w:rsidRDefault="00DE2505" w:rsidP="00DE2505">
      <w:pPr>
        <w:pStyle w:val="ListParagraph"/>
        <w:numPr>
          <w:ilvl w:val="0"/>
          <w:numId w:val="5"/>
        </w:numPr>
      </w:pPr>
      <w:r>
        <w:t xml:space="preserve">As a member of the Company you are entitled to appoint a proxy to exercise all or any of your rights to attend, speak and vote at a general meeting of the Company. You can only appoint a proxy using the procedures set out in these notes. </w:t>
      </w:r>
    </w:p>
    <w:p w14:paraId="0882D531" w14:textId="77777777" w:rsidR="00DE2505" w:rsidRDefault="00DE2505" w:rsidP="00DE2505">
      <w:pPr>
        <w:pStyle w:val="ListParagraph"/>
        <w:numPr>
          <w:ilvl w:val="0"/>
          <w:numId w:val="5"/>
        </w:numPr>
      </w:pPr>
      <w:r>
        <w:t xml:space="preserve">Appointment of a proxy does not preclude you from attending the meeting and voting in person. If you have appointed a proxy and attend the meeting in person, your proxy appointment will automatically be terminated. </w:t>
      </w:r>
    </w:p>
    <w:p w14:paraId="6AFCF4A5" w14:textId="77777777" w:rsidR="00DE2505" w:rsidRDefault="00DE2505" w:rsidP="00DE2505">
      <w:pPr>
        <w:pStyle w:val="ListParagraph"/>
        <w:numPr>
          <w:ilvl w:val="0"/>
          <w:numId w:val="5"/>
        </w:numPr>
      </w:pPr>
      <w:r>
        <w:t xml:space="preserve">A proxy does not need to be a member of the Company but must attend the meeting to represent you. To appoint as your proxy a person other than the Chairman of the meeting, insert their full name in the box. If you sign and return this proxy form with no name inserted in the box, the Chairman of the meeting will be deemed to be your proxy. Where you appoint as your proxy someone other than the Chairman, you are responsible for ensuring that they attend the meeting and are aware of your voting intentions. If you wish your proxy to make any comments on your behalf, you will need to appoint someone other than the Chairman and give them the relevant instructions directly. </w:t>
      </w:r>
    </w:p>
    <w:p w14:paraId="07EF37DB" w14:textId="77777777" w:rsidR="00DE2505" w:rsidRDefault="00DE2505" w:rsidP="00DE2505">
      <w:pPr>
        <w:pStyle w:val="ListParagraph"/>
        <w:numPr>
          <w:ilvl w:val="0"/>
          <w:numId w:val="5"/>
        </w:numPr>
      </w:pPr>
      <w:r>
        <w:t xml:space="preserve">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 </w:t>
      </w:r>
    </w:p>
    <w:p w14:paraId="1E3B0E7E" w14:textId="77777777" w:rsidR="00DE2505" w:rsidRDefault="00DE2505" w:rsidP="00DE2505">
      <w:pPr>
        <w:pStyle w:val="ListParagraph"/>
        <w:numPr>
          <w:ilvl w:val="0"/>
          <w:numId w:val="5"/>
        </w:numPr>
      </w:pPr>
      <w:r>
        <w:t xml:space="preserve">To appoint a proxy using this form, the form must be: </w:t>
      </w:r>
    </w:p>
    <w:p w14:paraId="3A860F5E" w14:textId="77777777" w:rsidR="00DE2505" w:rsidRDefault="00DE2505" w:rsidP="00DE2505">
      <w:pPr>
        <w:pStyle w:val="ListParagraph"/>
        <w:numPr>
          <w:ilvl w:val="1"/>
          <w:numId w:val="5"/>
        </w:numPr>
      </w:pPr>
      <w:r>
        <w:t>Completed and signed;</w:t>
      </w:r>
    </w:p>
    <w:p w14:paraId="6B38987E" w14:textId="716A23B9" w:rsidR="00DE2505" w:rsidRDefault="00DE2505" w:rsidP="00DE2505">
      <w:pPr>
        <w:pStyle w:val="ListParagraph"/>
        <w:numPr>
          <w:ilvl w:val="1"/>
          <w:numId w:val="5"/>
        </w:numPr>
      </w:pPr>
      <w:r>
        <w:t>Emailed to board@2cvracing.org.uk with subject: 202</w:t>
      </w:r>
      <w:r w:rsidR="00A42B4D">
        <w:t>2</w:t>
      </w:r>
      <w:r>
        <w:t xml:space="preserve"> AGM Proxy Vote and this document attached as a scanned pdf</w:t>
      </w:r>
    </w:p>
    <w:p w14:paraId="739063AE" w14:textId="197A5296" w:rsidR="00DE2505" w:rsidRDefault="00DE2505" w:rsidP="00DE2505">
      <w:pPr>
        <w:pStyle w:val="ListParagraph"/>
        <w:numPr>
          <w:ilvl w:val="1"/>
          <w:numId w:val="5"/>
        </w:numPr>
      </w:pPr>
      <w:r>
        <w:t xml:space="preserve">Received by the Company no later than 1200hrs on Saturday 19 November 2022. </w:t>
      </w:r>
    </w:p>
    <w:p w14:paraId="040F7CE5" w14:textId="77777777" w:rsidR="00DE2505" w:rsidRDefault="00DE2505" w:rsidP="00DE2505">
      <w:pPr>
        <w:pStyle w:val="ListParagraph"/>
        <w:numPr>
          <w:ilvl w:val="0"/>
          <w:numId w:val="5"/>
        </w:numPr>
      </w:pPr>
      <w:r>
        <w:t>In the case of a member, which is a company, this proxy form must be executed under its common seal or signed on its behalf by an officer of the company or an attorney for the company.</w:t>
      </w:r>
    </w:p>
    <w:p w14:paraId="0242DA48" w14:textId="77777777" w:rsidR="00DE2505" w:rsidRDefault="00DE2505" w:rsidP="00DE2505">
      <w:pPr>
        <w:pStyle w:val="ListParagraph"/>
        <w:numPr>
          <w:ilvl w:val="0"/>
          <w:numId w:val="5"/>
        </w:numPr>
      </w:pPr>
      <w:r>
        <w:t xml:space="preserve">Any power of attorney or any other authority under which this proxy form is signed (or a duly certified copy of such power or authority) must be included with the proxy form. </w:t>
      </w:r>
    </w:p>
    <w:p w14:paraId="3499C353" w14:textId="77777777" w:rsidR="00DE2505" w:rsidRDefault="00DE2505" w:rsidP="00DE2505">
      <w:pPr>
        <w:pStyle w:val="ListParagraph"/>
        <w:numPr>
          <w:ilvl w:val="0"/>
          <w:numId w:val="5"/>
        </w:numPr>
      </w:pPr>
      <w:r>
        <w:t xml:space="preserve">Members may change proxy instructions by submitting a new proxy appointment using the methods set out above. Note that the cut-off time for receipt of proxy appointments also apply in relation to amended instructions; any amended proxy 3 appointment received after the relevant cut-off time will be disregarded. If you submit more than one valid proxy appointment, the appointment received last before the latest time for the receipt of proxies will take precedence. </w:t>
      </w:r>
    </w:p>
    <w:p w14:paraId="026F58D1" w14:textId="4F86030B" w:rsidR="00E1774E" w:rsidRDefault="00DE2505" w:rsidP="00DE2505">
      <w:pPr>
        <w:pStyle w:val="ListParagraph"/>
        <w:numPr>
          <w:ilvl w:val="0"/>
          <w:numId w:val="5"/>
        </w:numPr>
      </w:pPr>
      <w:r>
        <w:t>A member may change a proxy instruction but to do so you will need to inform the Company by emailing a signed notice clearly stating your intention to revoke your proxy appointment to the Company. Any power of attorney or any other authority under which the revocation notice is signed (or a duly certified copy of such power or authority) must be included with the revocation notice. The revocation notice must be received by the Company no later than 1200hrs on Saturday 19 November, 2022. If you attempt to revoke your proxy appointment but the revocation is received after the time specified, your original proxy appointment will remain valid unless you attend the meeting and vote in person.</w:t>
      </w:r>
    </w:p>
    <w:sectPr w:rsidR="00E17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6870"/>
    <w:multiLevelType w:val="hybridMultilevel"/>
    <w:tmpl w:val="B2620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7155E84"/>
    <w:multiLevelType w:val="hybridMultilevel"/>
    <w:tmpl w:val="B9883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C2876"/>
    <w:multiLevelType w:val="hybridMultilevel"/>
    <w:tmpl w:val="BAA86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AB1EC2"/>
    <w:multiLevelType w:val="hybridMultilevel"/>
    <w:tmpl w:val="3446B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84318F"/>
    <w:multiLevelType w:val="hybridMultilevel"/>
    <w:tmpl w:val="C7164A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AB301B"/>
    <w:multiLevelType w:val="hybridMultilevel"/>
    <w:tmpl w:val="256284CA"/>
    <w:lvl w:ilvl="0" w:tplc="0809000F">
      <w:start w:val="1"/>
      <w:numFmt w:val="decimal"/>
      <w:lvlText w:val="%1."/>
      <w:lvlJc w:val="left"/>
      <w:pPr>
        <w:ind w:left="720" w:hanging="360"/>
      </w:pPr>
      <w:rPr>
        <w:rFonts w:hint="default"/>
      </w:rPr>
    </w:lvl>
    <w:lvl w:ilvl="1" w:tplc="99B8D24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9425305">
    <w:abstractNumId w:val="3"/>
  </w:num>
  <w:num w:numId="2" w16cid:durableId="824856947">
    <w:abstractNumId w:val="1"/>
  </w:num>
  <w:num w:numId="3" w16cid:durableId="889196089">
    <w:abstractNumId w:val="4"/>
  </w:num>
  <w:num w:numId="4" w16cid:durableId="1658999535">
    <w:abstractNumId w:val="2"/>
  </w:num>
  <w:num w:numId="5" w16cid:durableId="547839182">
    <w:abstractNumId w:val="5"/>
  </w:num>
  <w:num w:numId="6" w16cid:durableId="127732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87"/>
    <w:rsid w:val="0028284E"/>
    <w:rsid w:val="005925F3"/>
    <w:rsid w:val="006147C9"/>
    <w:rsid w:val="00716C07"/>
    <w:rsid w:val="008C68A6"/>
    <w:rsid w:val="00A42B4D"/>
    <w:rsid w:val="00B40287"/>
    <w:rsid w:val="00DE2505"/>
    <w:rsid w:val="00E1774E"/>
    <w:rsid w:val="00F00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38C1"/>
  <w15:chartTrackingRefBased/>
  <w15:docId w15:val="{86BA1C13-4A16-497C-993B-03373F61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1449</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Yates</dc:creator>
  <cp:keywords/>
  <dc:description/>
  <cp:lastModifiedBy>Chris Yates</cp:lastModifiedBy>
  <cp:revision>4</cp:revision>
  <dcterms:created xsi:type="dcterms:W3CDTF">2022-11-13T19:34:00Z</dcterms:created>
  <dcterms:modified xsi:type="dcterms:W3CDTF">2022-11-15T20:05:00Z</dcterms:modified>
</cp:coreProperties>
</file>